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8C550E" w:rsidRPr="00683EA3">
        <w:rPr>
          <w:rFonts w:cs="Arial"/>
          <w:sz w:val="28"/>
          <w:szCs w:val="28"/>
        </w:rPr>
        <w:t>Mauer aus Zahlen</w:t>
      </w:r>
    </w:p>
    <w:p w:rsidR="00694A63" w:rsidRPr="00694A63" w:rsidRDefault="00694A63">
      <w:pPr>
        <w:pStyle w:val="IQB-Teilaufgabentitel"/>
        <w:rPr>
          <w:b/>
        </w:rPr>
      </w:pPr>
      <w:r w:rsidRPr="00694A63">
        <w:rPr>
          <w:b/>
        </w:rPr>
        <w:t>Merkmal</w:t>
      </w:r>
      <w:r w:rsidR="00220FFD">
        <w:rPr>
          <w:b/>
        </w:rPr>
        <w:t>e</w:t>
      </w:r>
      <w:r w:rsidR="00F764C0">
        <w:rPr>
          <w:b/>
        </w:rPr>
        <w:t xml:space="preserve"> der Teilaufgabe 1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1. Zahl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>
              <w:t>Probleme mathematisch lösen (K2)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I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1a</w:t>
            </w:r>
          </w:p>
        </w:tc>
      </w:tr>
    </w:tbl>
    <w:p w:rsidR="00F764C0" w:rsidRPr="00694A63" w:rsidRDefault="00F764C0" w:rsidP="00F764C0">
      <w:pPr>
        <w:pStyle w:val="IQB-Teilaufgabentitel"/>
        <w:rPr>
          <w:b/>
        </w:rPr>
      </w:pPr>
      <w:r w:rsidRPr="00694A63">
        <w:rPr>
          <w:b/>
        </w:rPr>
        <w:t>Merkmal</w:t>
      </w:r>
      <w:r>
        <w:rPr>
          <w:b/>
        </w:rPr>
        <w:t>e der Teilaufgabe 2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1. Zahl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>
              <w:t>Probleme mathematisch lösen (K2)</w:t>
            </w:r>
          </w:p>
          <w:p w:rsidR="008C550E" w:rsidRPr="00FE6928" w:rsidRDefault="008C550E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II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2</w:t>
            </w:r>
          </w:p>
        </w:tc>
      </w:tr>
    </w:tbl>
    <w:p w:rsidR="008C550E" w:rsidRPr="00694A63" w:rsidRDefault="008C550E" w:rsidP="008C550E">
      <w:pPr>
        <w:pStyle w:val="IQB-Teilaufgabentitel"/>
        <w:rPr>
          <w:b/>
        </w:rPr>
      </w:pPr>
      <w:r w:rsidRPr="00694A63">
        <w:rPr>
          <w:b/>
        </w:rPr>
        <w:t>Merkmal</w:t>
      </w:r>
      <w:r>
        <w:rPr>
          <w:b/>
        </w:rPr>
        <w:t xml:space="preserve">e der Teilaufgabe </w:t>
      </w:r>
      <w:r>
        <w:rPr>
          <w:b/>
        </w:rPr>
        <w:t>3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1. Zahl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>
              <w:t>Probleme mathematisch lösen (K2)</w:t>
            </w:r>
          </w:p>
          <w:p w:rsidR="008C550E" w:rsidRPr="00FE6928" w:rsidRDefault="008C550E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II</w:t>
            </w:r>
          </w:p>
        </w:tc>
      </w:tr>
      <w:tr w:rsidR="008C550E" w:rsidRPr="00CA4F42" w:rsidTr="008C550E">
        <w:tc>
          <w:tcPr>
            <w:tcW w:w="2466" w:type="dxa"/>
            <w:vAlign w:val="center"/>
          </w:tcPr>
          <w:p w:rsidR="008C550E" w:rsidRPr="00FE6928" w:rsidRDefault="008C550E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8C550E" w:rsidRPr="00FE6928" w:rsidRDefault="008C550E" w:rsidP="00E73945">
            <w:pPr>
              <w:pStyle w:val="IQB-Merkmalswert"/>
            </w:pPr>
            <w:r w:rsidRPr="00FE6928">
              <w:t>2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8C550E" w:rsidRPr="00CA4F42" w:rsidRDefault="008C550E" w:rsidP="008C550E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 Aufgabe ist der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Zahl</w:t>
      </w:r>
      <w:r w:rsidRPr="00CA4F42">
        <w:rPr>
          <w:rFonts w:ascii="Arial" w:hAnsi="Arial"/>
          <w:sz w:val="22"/>
          <w:szCs w:val="22"/>
        </w:rPr>
        <w:t xml:space="preserve"> (L1) zugeordnet, da Schülerinnen und Schüler hier durch Ausprobieren und Ausrechnen zur Lösung gelangen (siehe hierzu auch die allgemeinen Erläuterungen zur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Zahl</w:t>
      </w:r>
      <w:r>
        <w:rPr>
          <w:rFonts w:ascii="Arial" w:hAnsi="Arial"/>
          <w:sz w:val="22"/>
          <w:szCs w:val="22"/>
        </w:rPr>
        <w:t xml:space="preserve"> in Modul B</w:t>
      </w:r>
      <w:r w:rsidRPr="00CA4F42">
        <w:rPr>
          <w:rFonts w:ascii="Arial" w:hAnsi="Arial"/>
          <w:sz w:val="22"/>
          <w:szCs w:val="22"/>
        </w:rPr>
        <w:t xml:space="preserve">). Es handelt sich dabei um eine Strategie des Abzählens. </w:t>
      </w:r>
    </w:p>
    <w:p w:rsidR="008C550E" w:rsidRPr="00CA4F42" w:rsidRDefault="008C550E" w:rsidP="008C550E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Bei allen drei Teilaufgaben wird die Kompetenz </w:t>
      </w:r>
      <w:r w:rsidRPr="0097766D">
        <w:rPr>
          <w:rFonts w:ascii="Arial" w:hAnsi="Arial"/>
          <w:i/>
          <w:sz w:val="22"/>
          <w:szCs w:val="22"/>
        </w:rPr>
        <w:t>Probleme mathematisch lösen</w:t>
      </w:r>
      <w:r w:rsidRPr="00CA4F42">
        <w:rPr>
          <w:rFonts w:ascii="Arial" w:hAnsi="Arial"/>
          <w:sz w:val="22"/>
          <w:szCs w:val="22"/>
        </w:rPr>
        <w:t xml:space="preserve"> (K2) gefordert, da stets heuristische Prinzipien, wie etwa „Vom Ergebnis her rückwärts arbeiten“, angewandt werden. Dabei wird das Ergebnis stets durch den obersten Baustein der Zahlenmauer dargestellt. In den Teilaufgaben 2 und 3 rechnen Schülerinnen und Schüler mit einer Unbekannten und arbeiten (mental) mit Termen und deren Umformungen. Somit erfordern diese beiden Teilaufgaben die Kompetenz</w:t>
      </w:r>
      <w:r>
        <w:rPr>
          <w:rFonts w:ascii="Arial" w:hAnsi="Arial"/>
          <w:sz w:val="22"/>
          <w:szCs w:val="22"/>
        </w:rPr>
        <w:t>,</w:t>
      </w:r>
      <w:r w:rsidRPr="00CA4F42">
        <w:rPr>
          <w:rFonts w:ascii="Arial" w:hAnsi="Arial"/>
          <w:sz w:val="22"/>
          <w:szCs w:val="22"/>
        </w:rPr>
        <w:t xml:space="preserve"> </w:t>
      </w:r>
      <w:r w:rsidRPr="00431031">
        <w:rPr>
          <w:rFonts w:ascii="Arial" w:hAnsi="Arial"/>
          <w:i/>
          <w:sz w:val="22"/>
          <w:szCs w:val="22"/>
        </w:rPr>
        <w:t xml:space="preserve">Mit symbolischen, formalen und technischen Elementen der Mathematik umgehen </w:t>
      </w:r>
      <w:r w:rsidRPr="00CA4F42">
        <w:rPr>
          <w:rFonts w:ascii="Arial" w:hAnsi="Arial"/>
          <w:sz w:val="22"/>
          <w:szCs w:val="22"/>
        </w:rPr>
        <w:t xml:space="preserve">(K5). </w:t>
      </w:r>
    </w:p>
    <w:p w:rsidR="008C550E" w:rsidRPr="00CA4F42" w:rsidRDefault="008C550E" w:rsidP="008C550E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Teilaufgabe 1 erfordert nur das Lösen einer einfachen mathematischen Aufgabenstellung durch die Identifikation der vorgegebenen Strategie, also das direkte Anwenden der Formel, und ist somit Anforderungsbereich I zuzuordnen. Die Teilaufgaben 2 und 3 hingegen erfordern eine eigene mehrschrittige Lösungsstrategie.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8C550E" w:rsidRDefault="008C550E" w:rsidP="008C550E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Alle drei Teilaufgaben zielen auf die Problemlösekompetenzen von Schülerinnen und Schüler ab. Im Unterricht können anhand der Aufgabe „Mauer aus Zahlen“ verschiedene Problemlösestrategien verdeutlicht werden. In den Teilaufgaben 1 und 2 gelangen Schülerinnen und Schüler durch systematisches Probieren oder über die Kombination von Vorwärts- und Rückwärtsarbeiten zur Lösung. </w:t>
      </w:r>
    </w:p>
    <w:p w:rsidR="008C550E" w:rsidRPr="00CA4F42" w:rsidRDefault="008C550E" w:rsidP="008C550E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lastRenderedPageBreak/>
        <w:t xml:space="preserve">So wird in Teilaufgabe 1 zunächst </w:t>
      </w:r>
      <w:r w:rsidRPr="00CA4F42">
        <w:rPr>
          <w:rFonts w:ascii="Arial" w:hAnsi="Arial"/>
          <w:position w:val="-6"/>
          <w:sz w:val="22"/>
          <w:szCs w:val="22"/>
        </w:rPr>
        <w:object w:dxaOrig="8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pt;height:14.25pt" o:ole="">
            <v:imagedata r:id="rId8" o:title=""/>
          </v:shape>
          <o:OLEObject Type="Embed" ProgID="Equation.DSMT4" ShapeID="_x0000_i1025" DrawAspect="Content" ObjectID="_1814594640" r:id="rId9"/>
        </w:object>
      </w:r>
      <w:r w:rsidRPr="00CA4F42">
        <w:rPr>
          <w:rFonts w:ascii="Arial" w:hAnsi="Arial"/>
          <w:noProof/>
          <w:sz w:val="22"/>
          <w:szCs w:val="22"/>
        </w:rPr>
        <w:t xml:space="preserve"> </w:t>
      </w:r>
      <w:r w:rsidRPr="00CA4F42">
        <w:rPr>
          <w:rFonts w:ascii="Arial" w:hAnsi="Arial"/>
          <w:sz w:val="22"/>
          <w:szCs w:val="22"/>
        </w:rPr>
        <w:t>gerechnet (vorwärts) und dann die Gleichung</w:t>
      </w:r>
      <w:r w:rsidRPr="00CA4F42">
        <w:rPr>
          <w:rFonts w:ascii="Arial" w:hAnsi="Arial"/>
          <w:noProof/>
          <w:sz w:val="22"/>
          <w:szCs w:val="22"/>
        </w:rPr>
        <w:t xml:space="preserve"> </w:t>
      </w:r>
      <w:r w:rsidRPr="00CA4F42">
        <w:rPr>
          <w:rFonts w:ascii="Arial" w:hAnsi="Arial"/>
          <w:position w:val="-6"/>
          <w:sz w:val="22"/>
          <w:szCs w:val="22"/>
        </w:rPr>
        <w:object w:dxaOrig="1100" w:dyaOrig="279">
          <v:shape id="_x0000_i1026" type="#_x0000_t75" style="width:55.6pt;height:14.25pt" o:ole="">
            <v:imagedata r:id="rId10" o:title=""/>
          </v:shape>
          <o:OLEObject Type="Embed" ProgID="Equation.DSMT4" ShapeID="_x0000_i1026" DrawAspect="Content" ObjectID="_1814594641" r:id="rId11"/>
        </w:object>
      </w:r>
      <w:r w:rsidRPr="00CA4F42">
        <w:rPr>
          <w:rFonts w:ascii="Arial" w:hAnsi="Arial"/>
          <w:noProof/>
          <w:sz w:val="22"/>
          <w:szCs w:val="22"/>
        </w:rPr>
        <w:t xml:space="preserve"> </w:t>
      </w:r>
      <w:r w:rsidRPr="00CA4F42">
        <w:rPr>
          <w:rFonts w:ascii="Arial" w:hAnsi="Arial"/>
          <w:sz w:val="22"/>
          <w:szCs w:val="22"/>
        </w:rPr>
        <w:t>gelöst (rückwärts). Beide Strategien können an ähnlichen Problemen im Unterricht angewandt und geübt werden.</w:t>
      </w:r>
    </w:p>
    <w:p w:rsidR="008C550E" w:rsidRDefault="008C550E" w:rsidP="008C550E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In Teilaufgabe 3 können sowohl die oben angeführten heuristischen Strategien, als auch h</w:t>
      </w:r>
      <w:r>
        <w:rPr>
          <w:rFonts w:ascii="Arial" w:hAnsi="Arial"/>
          <w:sz w:val="22"/>
          <w:szCs w:val="22"/>
        </w:rPr>
        <w:t>euristische Hilfsmittel (wie z.</w:t>
      </w:r>
      <w:r w:rsidRPr="00A578AF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B.</w:t>
      </w:r>
      <w:r w:rsidRPr="00CA4F42">
        <w:rPr>
          <w:rFonts w:ascii="Arial" w:hAnsi="Arial"/>
          <w:sz w:val="22"/>
          <w:szCs w:val="22"/>
        </w:rPr>
        <w:t xml:space="preserve"> Tabellen) genutzt werden. In diesem konkreten Fall könnte das ein Term bzw. eine Gleichung oder eine Tabelle sein. Eine systematische Darstellung heuristischer Hilfsmittel, Strategien und Prinzipien findet sich bei Bruder und </w:t>
      </w:r>
      <w:proofErr w:type="spellStart"/>
      <w:r w:rsidRPr="00CA4F42">
        <w:rPr>
          <w:rFonts w:ascii="Arial" w:hAnsi="Arial"/>
          <w:sz w:val="22"/>
          <w:szCs w:val="22"/>
        </w:rPr>
        <w:t>Collet</w:t>
      </w:r>
      <w:proofErr w:type="spellEnd"/>
      <w:r w:rsidRPr="00CA4F42">
        <w:rPr>
          <w:rStyle w:val="Funotenanker"/>
          <w:rFonts w:ascii="Arial" w:hAnsi="Arial"/>
          <w:sz w:val="22"/>
          <w:szCs w:val="22"/>
        </w:rPr>
        <w:footnoteReference w:id="1"/>
      </w:r>
      <w:r w:rsidRPr="00CA4F42">
        <w:rPr>
          <w:rFonts w:ascii="Arial" w:hAnsi="Arial"/>
          <w:sz w:val="22"/>
          <w:szCs w:val="22"/>
        </w:rPr>
        <w:t xml:space="preserve">. </w:t>
      </w:r>
      <w:r>
        <w:rPr>
          <w:rFonts w:ascii="Arial" w:hAnsi="Arial"/>
          <w:sz w:val="22"/>
          <w:szCs w:val="22"/>
        </w:rPr>
        <w:t xml:space="preserve">(siehe auch Modul B der didaktischen Handreichungen zu VERA8-2012). </w:t>
      </w:r>
    </w:p>
    <w:p w:rsidR="008C550E" w:rsidRPr="00CA4F42" w:rsidRDefault="008C550E" w:rsidP="008C550E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Die heuristischen Hilfsmittel sollten im Unterricht als solche gekennzeichnet werden. Im Folgenden sind sie exemplarisch dargestellt: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224"/>
      </w:tblGrid>
      <w:tr w:rsidR="008C550E" w:rsidRPr="00CA4F42" w:rsidTr="00E73945">
        <w:tc>
          <w:tcPr>
            <w:tcW w:w="9224" w:type="dxa"/>
            <w:shd w:val="clear" w:color="auto" w:fill="auto"/>
          </w:tcPr>
          <w:p w:rsidR="008C550E" w:rsidRPr="00FE6928" w:rsidRDefault="008C550E" w:rsidP="00E73945">
            <w:pPr>
              <w:pStyle w:val="IQB-AnweisungenText"/>
              <w:spacing w:after="60"/>
              <w:rPr>
                <w:rFonts w:ascii="Arial" w:hAnsi="Arial"/>
                <w:i/>
                <w:sz w:val="22"/>
                <w:szCs w:val="22"/>
              </w:rPr>
            </w:pPr>
            <w:r w:rsidRPr="00FE6928">
              <w:rPr>
                <w:rFonts w:ascii="Arial" w:hAnsi="Arial"/>
                <w:i/>
                <w:sz w:val="22"/>
                <w:szCs w:val="22"/>
              </w:rPr>
              <w:t xml:space="preserve">Gleichung: </w:t>
            </w:r>
          </w:p>
          <w:p w:rsidR="008C550E" w:rsidRDefault="008C550E" w:rsidP="00E73945">
            <w:pPr>
              <w:pStyle w:val="IQB-AnweisungenText"/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position w:val="-6"/>
                <w:sz w:val="22"/>
                <w:szCs w:val="22"/>
              </w:rPr>
              <w:object w:dxaOrig="1520" w:dyaOrig="279">
                <v:shape id="_x0000_i1027" type="#_x0000_t75" style="width:76.3pt;height:14.25pt" o:ole="">
                  <v:imagedata r:id="rId12" o:title=""/>
                </v:shape>
                <o:OLEObject Type="Embed" ProgID="Equation.DSMT4" ShapeID="_x0000_i1027" DrawAspect="Content" ObjectID="_1814594642" r:id="rId13"/>
              </w:object>
            </w:r>
          </w:p>
          <w:p w:rsidR="008C550E" w:rsidRPr="00450F59" w:rsidRDefault="008C550E" w:rsidP="00E73945">
            <w:pPr>
              <w:pStyle w:val="IQB-AnweisungenText"/>
              <w:spacing w:after="60"/>
              <w:rPr>
                <w:rFonts w:ascii="Arial" w:hAnsi="Arial"/>
                <w:sz w:val="22"/>
                <w:szCs w:val="22"/>
              </w:rPr>
            </w:pPr>
          </w:p>
          <w:p w:rsidR="008C550E" w:rsidRPr="00FE6928" w:rsidRDefault="008C550E" w:rsidP="00E73945">
            <w:pPr>
              <w:pStyle w:val="IQB-AnweisungenText"/>
              <w:spacing w:after="60"/>
              <w:rPr>
                <w:rFonts w:ascii="Arial" w:hAnsi="Arial"/>
                <w:i/>
                <w:sz w:val="22"/>
                <w:szCs w:val="22"/>
              </w:rPr>
            </w:pPr>
            <w:r w:rsidRPr="00FE6928">
              <w:rPr>
                <w:rFonts w:ascii="Arial" w:hAnsi="Arial"/>
                <w:i/>
                <w:sz w:val="22"/>
                <w:szCs w:val="22"/>
              </w:rPr>
              <w:t xml:space="preserve">Graph: </w:t>
            </w:r>
          </w:p>
          <w:p w:rsidR="008C550E" w:rsidRPr="00FE6928" w:rsidRDefault="008C550E" w:rsidP="00E73945">
            <w:pPr>
              <w:pStyle w:val="IQB-AnweisungenText"/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noProof/>
                <w:sz w:val="22"/>
                <w:szCs w:val="22"/>
              </w:rPr>
              <w:drawing>
                <wp:inline distT="0" distB="0" distL="0" distR="0">
                  <wp:extent cx="2154555" cy="2009775"/>
                  <wp:effectExtent l="0" t="0" r="0" b="9525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55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550E" w:rsidRPr="00FE6928" w:rsidRDefault="008C550E" w:rsidP="00E73945">
            <w:pPr>
              <w:pStyle w:val="IQB-AnweisungenText"/>
              <w:spacing w:after="60"/>
              <w:rPr>
                <w:rFonts w:ascii="Arial" w:hAnsi="Arial"/>
                <w:i/>
                <w:sz w:val="22"/>
                <w:szCs w:val="22"/>
              </w:rPr>
            </w:pPr>
            <w:r w:rsidRPr="00FE6928">
              <w:rPr>
                <w:rFonts w:ascii="Arial" w:hAnsi="Arial"/>
                <w:i/>
                <w:sz w:val="22"/>
                <w:szCs w:val="22"/>
              </w:rPr>
              <w:t>Tabelle:</w:t>
            </w:r>
          </w:p>
          <w:tbl>
            <w:tblPr>
              <w:tblW w:w="0" w:type="auto"/>
              <w:tblBorders>
                <w:top w:val="single" w:sz="4" w:space="0" w:color="00000A"/>
                <w:left w:val="single" w:sz="4" w:space="0" w:color="00000A"/>
                <w:bottom w:val="single" w:sz="4" w:space="0" w:color="00000A"/>
                <w:right w:val="single" w:sz="4" w:space="0" w:color="00000A"/>
                <w:insideH w:val="single" w:sz="4" w:space="0" w:color="00000A"/>
                <w:insideV w:val="single" w:sz="4" w:space="0" w:color="00000A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="008C550E" w:rsidRPr="00CA4F42" w:rsidTr="00E73945">
              <w:trPr>
                <w:trHeight w:val="432"/>
              </w:trPr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D9D9D9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rPr>
                      <w:noProof/>
                      <w:position w:val="-4"/>
                    </w:rPr>
                    <w:object w:dxaOrig="200" w:dyaOrig="220">
                      <v:shape id="_x0000_i1029" type="#_x0000_t75" style="width:10.7pt;height:10.7pt" o:ole="">
                        <v:imagedata r:id="rId15" o:title=""/>
                      </v:shape>
                      <o:OLEObject Type="Embed" ProgID="Equation.DSMT4" ShapeID="_x0000_i1029" DrawAspect="Content" ObjectID="_1814594643" r:id="rId16"/>
                    </w:objec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D9D9D9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rPr>
                      <w:noProof/>
                      <w:position w:val="-4"/>
                    </w:rPr>
                    <w:object w:dxaOrig="300" w:dyaOrig="300">
                      <v:shape id="_x0000_i1030" type="#_x0000_t75" style="width:14.95pt;height:14.95pt" o:ole="">
                        <v:imagedata r:id="rId17" o:title=""/>
                      </v:shape>
                      <o:OLEObject Type="Embed" ProgID="Equation.DSMT4" ShapeID="_x0000_i1030" DrawAspect="Content" ObjectID="_1814594644" r:id="rId18"/>
                    </w:objec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D9D9D9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rPr>
                      <w:noProof/>
                      <w:position w:val="-4"/>
                    </w:rPr>
                    <w:object w:dxaOrig="300" w:dyaOrig="300">
                      <v:shape id="_x0000_i1031" type="#_x0000_t75" style="width:14.95pt;height:14.95pt" o:ole="">
                        <v:imagedata r:id="rId19" o:title=""/>
                      </v:shape>
                      <o:OLEObject Type="Embed" ProgID="Equation.DSMT4" ShapeID="_x0000_i1031" DrawAspect="Content" ObjectID="_1814594645" r:id="rId20"/>
                    </w:object>
                  </w:r>
                </w:p>
              </w:tc>
            </w:tr>
            <w:tr w:rsidR="008C550E" w:rsidRPr="00CA4F42" w:rsidTr="00E73945">
              <w:trPr>
                <w:trHeight w:val="432"/>
              </w:trPr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1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1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1</w:t>
                  </w:r>
                </w:p>
              </w:tc>
            </w:tr>
            <w:tr w:rsidR="008C550E" w:rsidRPr="00CA4F42" w:rsidTr="00E73945">
              <w:trPr>
                <w:trHeight w:val="432"/>
              </w:trPr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2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4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16</w:t>
                  </w:r>
                </w:p>
              </w:tc>
            </w:tr>
            <w:tr w:rsidR="008C550E" w:rsidRPr="00CA4F42" w:rsidTr="00E73945">
              <w:trPr>
                <w:trHeight w:val="432"/>
              </w:trPr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3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9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81</w:t>
                  </w:r>
                </w:p>
              </w:tc>
            </w:tr>
            <w:tr w:rsidR="008C550E" w:rsidRPr="00CA4F42" w:rsidTr="00E73945">
              <w:trPr>
                <w:trHeight w:val="432"/>
              </w:trPr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4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16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auto"/>
                  <w:tcMar>
                    <w:left w:w="108" w:type="dxa"/>
                  </w:tcMar>
                </w:tcPr>
                <w:p w:rsidR="008C550E" w:rsidRPr="00FE6928" w:rsidRDefault="008C550E" w:rsidP="00E73945">
                  <w:pPr>
                    <w:pStyle w:val="IQB-AnweisungenText"/>
                    <w:jc w:val="center"/>
                  </w:pPr>
                  <w:r w:rsidRPr="00FE6928">
                    <w:t>256</w:t>
                  </w:r>
                </w:p>
              </w:tc>
            </w:tr>
          </w:tbl>
          <w:p w:rsidR="008C550E" w:rsidRPr="00FE6928" w:rsidRDefault="008C550E" w:rsidP="00E73945">
            <w:pPr>
              <w:pStyle w:val="IQB-AnweisungenText"/>
              <w:spacing w:after="60"/>
              <w:rPr>
                <w:rFonts w:ascii="Arial" w:hAnsi="Arial"/>
                <w:i/>
                <w:sz w:val="16"/>
                <w:szCs w:val="16"/>
              </w:rPr>
            </w:pPr>
          </w:p>
        </w:tc>
      </w:tr>
    </w:tbl>
    <w:p w:rsidR="00694A63" w:rsidRPr="005B2F65" w:rsidRDefault="00694A63" w:rsidP="00AD2D34">
      <w:pPr>
        <w:pStyle w:val="IQB-Standard"/>
        <w:rPr>
          <w:rFonts w:cs="Arial"/>
          <w:sz w:val="22"/>
          <w:szCs w:val="22"/>
        </w:rPr>
      </w:pPr>
      <w:bookmarkStart w:id="0" w:name="_GoBack"/>
      <w:bookmarkEnd w:id="0"/>
    </w:p>
    <w:sectPr w:rsidR="00694A63" w:rsidRPr="005B2F65" w:rsidSect="00DB65DC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6F6870A7-BD40-4413-A4E9-24BB5F6189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380BCF25-B9D2-4AA8-A183-E7D0470BE9D0}"/>
    <w:embedBold r:id="rId3" w:fontKey="{ACE5B734-F282-4827-91D3-6039268FDA28}"/>
    <w:embedItalic r:id="rId4" w:fontKey="{D4CF695F-EC9D-4A16-BB63-89E9C798F338}"/>
    <w:embedBoldItalic r:id="rId5" w:fontKey="{26196738-F301-4AA7-BBA9-1502D27F103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  <w:footnote w:id="1">
    <w:p w:rsidR="008C550E" w:rsidRPr="00A84E7D" w:rsidRDefault="008C550E" w:rsidP="008C550E">
      <w:pPr>
        <w:pStyle w:val="Funote"/>
        <w:rPr>
          <w:sz w:val="20"/>
          <w:szCs w:val="20"/>
        </w:rPr>
      </w:pPr>
      <w:r w:rsidRPr="00A84E7D">
        <w:rPr>
          <w:rStyle w:val="Funotenzeichen"/>
          <w:sz w:val="20"/>
          <w:szCs w:val="20"/>
        </w:rPr>
        <w:footnoteRef/>
      </w:r>
      <w:r w:rsidRPr="00A84E7D">
        <w:rPr>
          <w:sz w:val="20"/>
          <w:szCs w:val="20"/>
        </w:rPr>
        <w:t xml:space="preserve"> Bruder, R. </w:t>
      </w:r>
      <w:r>
        <w:rPr>
          <w:sz w:val="20"/>
          <w:szCs w:val="20"/>
        </w:rPr>
        <w:t>&amp;</w:t>
      </w:r>
      <w:r w:rsidRPr="00A84E7D">
        <w:rPr>
          <w:sz w:val="20"/>
          <w:szCs w:val="20"/>
        </w:rPr>
        <w:t xml:space="preserve"> </w:t>
      </w:r>
      <w:proofErr w:type="spellStart"/>
      <w:r w:rsidRPr="00A84E7D">
        <w:rPr>
          <w:sz w:val="20"/>
          <w:szCs w:val="20"/>
        </w:rPr>
        <w:t>Collet</w:t>
      </w:r>
      <w:proofErr w:type="spellEnd"/>
      <w:r w:rsidRPr="00A84E7D">
        <w:rPr>
          <w:sz w:val="20"/>
          <w:szCs w:val="20"/>
        </w:rPr>
        <w:t>, C. (2011): Problemlösekompetenzen fördern. Berlin: Cornelsen Scriptor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1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6"/>
  </w:num>
  <w:num w:numId="10">
    <w:abstractNumId w:val="8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8C550E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D3C5F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0113"/>
    <o:shapelayout v:ext="edit">
      <o:idmap v:ext="edit" data="1"/>
    </o:shapelayout>
  </w:shapeDefaults>
  <w:decimalSymbol w:val=","/>
  <w:listSeparator w:val=";"/>
  <w14:docId w14:val="4C72073A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uiPriority w:val="35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character" w:styleId="Funotenzeichen">
    <w:name w:val="footnote reference"/>
    <w:rsid w:val="008C550E"/>
    <w:rPr>
      <w:vertAlign w:val="superscript"/>
    </w:rPr>
  </w:style>
  <w:style w:type="character" w:customStyle="1" w:styleId="Funotenanker">
    <w:name w:val="Fußnotenanker"/>
    <w:rsid w:val="008C550E"/>
    <w:rPr>
      <w:vertAlign w:val="superscript"/>
    </w:rPr>
  </w:style>
  <w:style w:type="paragraph" w:customStyle="1" w:styleId="Funote">
    <w:name w:val="Fußnote"/>
    <w:basedOn w:val="Standard"/>
    <w:rsid w:val="008C550E"/>
    <w:pPr>
      <w:suppressAutoHyphens/>
    </w:pPr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7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031342-310B-4697-8453-3511705E59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401</Words>
  <Characters>2795</Characters>
  <Application>Microsoft Office Word</Application>
  <DocSecurity>0</DocSecurity>
  <Lines>60</Lines>
  <Paragraphs>39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2025-07-21T07:17:00Z</dcterms:created>
  <dcterms:modified xsi:type="dcterms:W3CDTF">2025-07-21T07:17:00Z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